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Look w:val="04A0"/>
      </w:tblPr>
      <w:tblGrid>
        <w:gridCol w:w="3510"/>
        <w:gridCol w:w="6268"/>
      </w:tblGrid>
      <w:tr w:rsidR="00764849" w:rsidTr="00764849">
        <w:tc>
          <w:tcPr>
            <w:tcW w:w="3510" w:type="dxa"/>
            <w:shd w:val="clear" w:color="auto" w:fill="D9D9D9" w:themeFill="background1" w:themeFillShade="D9"/>
            <w:vAlign w:val="center"/>
          </w:tcPr>
          <w:p w:rsidR="00764849" w:rsidRDefault="00764849" w:rsidP="00764849">
            <w:pPr>
              <w:jc w:val="center"/>
              <w:rPr>
                <w:rFonts w:ascii="Verdana" w:hAnsi="Verdana" w:cs="Arial"/>
                <w:sz w:val="18"/>
                <w:szCs w:val="18"/>
                <w:lang w:val="es-ES_tradnl"/>
              </w:rPr>
            </w:pPr>
            <w:r w:rsidRPr="00764849">
              <w:rPr>
                <w:rFonts w:ascii="Verdana" w:hAnsi="Verdana" w:cs="Arial"/>
                <w:noProof/>
                <w:sz w:val="18"/>
                <w:szCs w:val="18"/>
                <w:lang w:eastAsia="es-ES"/>
              </w:rPr>
              <w:drawing>
                <wp:inline distT="0" distB="0" distL="0" distR="0">
                  <wp:extent cx="2019300" cy="533400"/>
                  <wp:effectExtent l="0" t="0" r="0" b="0"/>
                  <wp:docPr id="2" name="Imagen 1" descr="FMSS_logotipo2013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SS_logotipo2013_Color"/>
                          <pic:cNvPicPr>
                            <a:picLocks noChangeAspect="1" noChangeArrowheads="1"/>
                          </pic:cNvPicPr>
                        </pic:nvPicPr>
                        <pic:blipFill>
                          <a:blip r:embed="rId8" cstate="print"/>
                          <a:srcRect/>
                          <a:stretch>
                            <a:fillRect/>
                          </a:stretch>
                        </pic:blipFill>
                        <pic:spPr bwMode="auto">
                          <a:xfrm>
                            <a:off x="0" y="0"/>
                            <a:ext cx="2019300" cy="533400"/>
                          </a:xfrm>
                          <a:prstGeom prst="rect">
                            <a:avLst/>
                          </a:prstGeom>
                          <a:noFill/>
                          <a:ln w="9525">
                            <a:noFill/>
                            <a:miter lim="800000"/>
                            <a:headEnd/>
                            <a:tailEnd/>
                          </a:ln>
                        </pic:spPr>
                      </pic:pic>
                    </a:graphicData>
                  </a:graphic>
                </wp:inline>
              </w:drawing>
            </w:r>
          </w:p>
        </w:tc>
        <w:tc>
          <w:tcPr>
            <w:tcW w:w="6268" w:type="dxa"/>
            <w:shd w:val="clear" w:color="auto" w:fill="D9D9D9" w:themeFill="background1" w:themeFillShade="D9"/>
          </w:tcPr>
          <w:p w:rsidR="00A86C9C" w:rsidRDefault="00A86C9C" w:rsidP="00764849">
            <w:pPr>
              <w:jc w:val="center"/>
              <w:rPr>
                <w:rFonts w:ascii="Verdana" w:hAnsi="Verdana" w:cs="Arial"/>
                <w:b/>
                <w:sz w:val="18"/>
                <w:szCs w:val="18"/>
                <w:lang w:val="es-ES_tradnl"/>
              </w:rPr>
            </w:pPr>
          </w:p>
          <w:p w:rsidR="00764849" w:rsidRPr="00297363" w:rsidRDefault="00CF5BF7" w:rsidP="00764849">
            <w:pPr>
              <w:jc w:val="center"/>
              <w:rPr>
                <w:rFonts w:ascii="Verdana" w:hAnsi="Verdana" w:cs="Arial"/>
                <w:b/>
                <w:sz w:val="16"/>
                <w:szCs w:val="16"/>
                <w:lang w:val="es-ES_tradnl"/>
              </w:rPr>
            </w:pPr>
            <w:r>
              <w:rPr>
                <w:rFonts w:ascii="Verdana" w:hAnsi="Verdana" w:cs="Arial"/>
                <w:b/>
                <w:sz w:val="16"/>
                <w:szCs w:val="16"/>
                <w:lang w:val="es-ES_tradnl"/>
              </w:rPr>
              <w:t>Anexo V</w:t>
            </w:r>
          </w:p>
          <w:p w:rsidR="00764849" w:rsidRPr="00297363" w:rsidRDefault="00764849" w:rsidP="00764849">
            <w:pPr>
              <w:jc w:val="center"/>
              <w:rPr>
                <w:rFonts w:ascii="Verdana" w:hAnsi="Verdana" w:cs="Arial"/>
                <w:b/>
                <w:sz w:val="16"/>
                <w:szCs w:val="16"/>
                <w:lang w:val="es-ES_tradnl"/>
              </w:rPr>
            </w:pPr>
            <w:r w:rsidRPr="00297363">
              <w:rPr>
                <w:rFonts w:ascii="Verdana" w:hAnsi="Verdana" w:cs="Arial"/>
                <w:b/>
                <w:sz w:val="16"/>
                <w:szCs w:val="16"/>
                <w:lang w:val="es-ES_tradnl"/>
              </w:rPr>
              <w:t>DECLARACIÓN RESPONSABLE</w:t>
            </w:r>
          </w:p>
          <w:p w:rsidR="00764849" w:rsidRDefault="00764849" w:rsidP="00764849">
            <w:pPr>
              <w:jc w:val="both"/>
              <w:rPr>
                <w:rFonts w:ascii="Verdana" w:hAnsi="Verdana" w:cs="Arial"/>
                <w:b/>
                <w:sz w:val="18"/>
                <w:szCs w:val="18"/>
                <w:lang w:val="es-ES_tradnl"/>
              </w:rPr>
            </w:pPr>
          </w:p>
          <w:p w:rsidR="00764849" w:rsidRPr="00A86C9C" w:rsidRDefault="00764849" w:rsidP="00764849">
            <w:pPr>
              <w:jc w:val="both"/>
              <w:rPr>
                <w:rFonts w:ascii="Verdana" w:hAnsi="Verdana"/>
                <w:sz w:val="14"/>
                <w:szCs w:val="14"/>
              </w:rPr>
            </w:pPr>
            <w:r w:rsidRPr="00A86C9C">
              <w:rPr>
                <w:rFonts w:ascii="Verdana" w:hAnsi="Verdana" w:cs="Arial"/>
                <w:b/>
                <w:sz w:val="14"/>
                <w:szCs w:val="14"/>
                <w:lang w:val="es-ES_tradnl"/>
              </w:rPr>
              <w:t>Entidades no obligadas en materia de transparencia, reutilización y acceso a la información</w:t>
            </w:r>
            <w:r w:rsidRPr="00A86C9C">
              <w:rPr>
                <w:rFonts w:ascii="Verdana" w:hAnsi="Verdana" w:cs="Verdana"/>
                <w:b/>
                <w:sz w:val="14"/>
                <w:szCs w:val="14"/>
              </w:rPr>
              <w:t xml:space="preserve"> </w:t>
            </w:r>
            <w:r w:rsidRPr="00A86C9C">
              <w:rPr>
                <w:rFonts w:ascii="Verdana" w:hAnsi="Verdana" w:cs="Verdana"/>
                <w:sz w:val="14"/>
                <w:szCs w:val="14"/>
              </w:rPr>
              <w:t xml:space="preserve">(Ley 19/2013, de 9 de diciembre, de transparencia, acceso a la información pública y buen gobierno y </w:t>
            </w:r>
            <w:r w:rsidRPr="00A86C9C">
              <w:rPr>
                <w:rFonts w:ascii="Verdana" w:hAnsi="Verdana"/>
                <w:sz w:val="14"/>
                <w:szCs w:val="14"/>
              </w:rPr>
              <w:t>Ley 8/2018, de 14 de septiembre, del Principado de Asturias de Transparencia, Buen Gobierno y grupos de interés)</w:t>
            </w:r>
          </w:p>
          <w:p w:rsidR="00764849" w:rsidRDefault="00764849" w:rsidP="00764849">
            <w:pPr>
              <w:jc w:val="both"/>
              <w:rPr>
                <w:rFonts w:ascii="Verdana" w:hAnsi="Verdana" w:cs="Arial"/>
                <w:sz w:val="18"/>
                <w:szCs w:val="18"/>
                <w:lang w:val="es-ES_tradnl"/>
              </w:rPr>
            </w:pPr>
          </w:p>
        </w:tc>
      </w:tr>
    </w:tbl>
    <w:p w:rsidR="00B25BED" w:rsidRDefault="00B25BED" w:rsidP="00B25BED">
      <w:pPr>
        <w:spacing w:after="0"/>
        <w:jc w:val="both"/>
        <w:rPr>
          <w:rFonts w:ascii="Verdana" w:hAnsi="Verdana" w:cs="Arial"/>
          <w:sz w:val="18"/>
          <w:szCs w:val="18"/>
          <w:lang w:val="es-ES_tradnl"/>
        </w:rPr>
      </w:pPr>
    </w:p>
    <w:p w:rsidR="00056F2D" w:rsidRDefault="00056F2D" w:rsidP="00B25BED">
      <w:pPr>
        <w:spacing w:after="0"/>
        <w:jc w:val="both"/>
        <w:rPr>
          <w:rFonts w:ascii="Verdana" w:hAnsi="Verdana" w:cs="Arial"/>
          <w:sz w:val="18"/>
          <w:szCs w:val="18"/>
          <w:lang w:val="es-ES_tradnl"/>
        </w:rPr>
      </w:pPr>
    </w:p>
    <w:p w:rsidR="00056F2D" w:rsidRDefault="00056F2D" w:rsidP="00B25BED">
      <w:pPr>
        <w:spacing w:after="0"/>
        <w:jc w:val="both"/>
        <w:rPr>
          <w:rFonts w:ascii="Verdana" w:hAnsi="Verdana" w:cs="Arial"/>
          <w:sz w:val="18"/>
          <w:szCs w:val="18"/>
          <w:lang w:val="es-ES_tradnl"/>
        </w:rPr>
      </w:pPr>
    </w:p>
    <w:p w:rsidR="00721E2F" w:rsidRDefault="00721E2F" w:rsidP="00B25BED">
      <w:pPr>
        <w:autoSpaceDE w:val="0"/>
        <w:autoSpaceDN w:val="0"/>
        <w:adjustRightInd w:val="0"/>
        <w:spacing w:after="0" w:line="240" w:lineRule="auto"/>
        <w:jc w:val="both"/>
        <w:rPr>
          <w:rFonts w:ascii="Verdana" w:hAnsi="Verdana" w:cs="Arial"/>
          <w:sz w:val="18"/>
          <w:szCs w:val="18"/>
        </w:rPr>
      </w:pPr>
    </w:p>
    <w:p w:rsidR="00721E2F" w:rsidRDefault="00721E2F" w:rsidP="00B25BED">
      <w:pPr>
        <w:autoSpaceDE w:val="0"/>
        <w:autoSpaceDN w:val="0"/>
        <w:adjustRightInd w:val="0"/>
        <w:spacing w:after="0" w:line="240" w:lineRule="auto"/>
        <w:jc w:val="both"/>
        <w:rPr>
          <w:rFonts w:ascii="Verdana" w:hAnsi="Verdana" w:cs="Arial"/>
          <w:sz w:val="18"/>
          <w:szCs w:val="18"/>
        </w:rPr>
      </w:pPr>
    </w:p>
    <w:p w:rsidR="00721E2F" w:rsidRDefault="00721E2F" w:rsidP="00B25BED">
      <w:pPr>
        <w:autoSpaceDE w:val="0"/>
        <w:autoSpaceDN w:val="0"/>
        <w:adjustRightInd w:val="0"/>
        <w:spacing w:after="0" w:line="240" w:lineRule="auto"/>
        <w:jc w:val="both"/>
        <w:rPr>
          <w:rFonts w:ascii="Verdana" w:hAnsi="Verdana" w:cs="Arial"/>
          <w:sz w:val="18"/>
          <w:szCs w:val="18"/>
        </w:rPr>
      </w:pPr>
    </w:p>
    <w:p w:rsidR="003E268C" w:rsidRPr="00A86C9C" w:rsidRDefault="003E268C" w:rsidP="00B25BED">
      <w:pPr>
        <w:autoSpaceDE w:val="0"/>
        <w:autoSpaceDN w:val="0"/>
        <w:adjustRightInd w:val="0"/>
        <w:spacing w:after="0" w:line="240" w:lineRule="auto"/>
        <w:jc w:val="both"/>
        <w:rPr>
          <w:rFonts w:ascii="Verdana" w:hAnsi="Verdana" w:cs="Arial"/>
          <w:sz w:val="16"/>
          <w:szCs w:val="16"/>
        </w:rPr>
      </w:pPr>
      <w:r w:rsidRPr="00A86C9C">
        <w:rPr>
          <w:rFonts w:ascii="Verdana" w:hAnsi="Verdana" w:cs="Arial"/>
          <w:sz w:val="16"/>
          <w:szCs w:val="16"/>
        </w:rPr>
        <w:t>D/Dª………………………………………………, con DNI/NIF, nº ……………………………….</w:t>
      </w:r>
      <w:r w:rsidR="00B25BED" w:rsidRPr="00A86C9C">
        <w:rPr>
          <w:rFonts w:ascii="Verdana" w:hAnsi="Verdana" w:cs="Arial"/>
          <w:sz w:val="16"/>
          <w:szCs w:val="16"/>
        </w:rPr>
        <w:t xml:space="preserve"> en representación de </w:t>
      </w:r>
      <w:r w:rsidRPr="00A86C9C">
        <w:rPr>
          <w:rFonts w:ascii="Verdana" w:hAnsi="Verdana" w:cs="Arial"/>
          <w:sz w:val="16"/>
          <w:szCs w:val="16"/>
        </w:rPr>
        <w:t>la Asociación / Fundación ……………………………………………………………, DECLARA RESPONSABLEMENTE que:</w:t>
      </w:r>
    </w:p>
    <w:p w:rsidR="003E268C" w:rsidRPr="00A86C9C" w:rsidRDefault="003E268C" w:rsidP="00B25BED">
      <w:pPr>
        <w:autoSpaceDE w:val="0"/>
        <w:autoSpaceDN w:val="0"/>
        <w:adjustRightInd w:val="0"/>
        <w:spacing w:after="0" w:line="240" w:lineRule="auto"/>
        <w:jc w:val="both"/>
        <w:rPr>
          <w:rFonts w:ascii="Verdana" w:hAnsi="Verdana" w:cs="Arial"/>
          <w:sz w:val="16"/>
          <w:szCs w:val="16"/>
        </w:rPr>
      </w:pPr>
    </w:p>
    <w:p w:rsidR="003E268C" w:rsidRPr="00A86C9C" w:rsidRDefault="003E268C" w:rsidP="00B25BED">
      <w:pPr>
        <w:autoSpaceDE w:val="0"/>
        <w:autoSpaceDN w:val="0"/>
        <w:adjustRightInd w:val="0"/>
        <w:spacing w:after="0" w:line="240" w:lineRule="auto"/>
        <w:jc w:val="both"/>
        <w:rPr>
          <w:rFonts w:ascii="Verdana" w:hAnsi="Verdana" w:cs="Arial"/>
          <w:sz w:val="16"/>
          <w:szCs w:val="16"/>
        </w:rPr>
      </w:pPr>
    </w:p>
    <w:p w:rsidR="003E268C" w:rsidRPr="00A86C9C" w:rsidRDefault="003E268C" w:rsidP="00B25BED">
      <w:pPr>
        <w:autoSpaceDE w:val="0"/>
        <w:autoSpaceDN w:val="0"/>
        <w:adjustRightInd w:val="0"/>
        <w:spacing w:after="0" w:line="240" w:lineRule="auto"/>
        <w:jc w:val="both"/>
        <w:rPr>
          <w:sz w:val="16"/>
          <w:szCs w:val="16"/>
        </w:rPr>
      </w:pPr>
      <w:r w:rsidRPr="00A86C9C">
        <w:rPr>
          <w:rFonts w:ascii="Verdana" w:hAnsi="Verdana" w:cs="Arial"/>
          <w:sz w:val="16"/>
          <w:szCs w:val="16"/>
        </w:rPr>
        <w:t xml:space="preserve">la entidad a la que representa </w:t>
      </w:r>
      <w:r w:rsidRPr="00A86C9C">
        <w:rPr>
          <w:rFonts w:ascii="Verdana" w:hAnsi="Verdana" w:cs="Arial"/>
          <w:sz w:val="16"/>
          <w:szCs w:val="16"/>
          <w:u w:val="single"/>
        </w:rPr>
        <w:t>no se encuentra obligada</w:t>
      </w:r>
      <w:r w:rsidRPr="00A86C9C">
        <w:rPr>
          <w:rFonts w:ascii="Verdana" w:hAnsi="Verdana" w:cs="Arial"/>
          <w:sz w:val="16"/>
          <w:szCs w:val="16"/>
        </w:rPr>
        <w:t xml:space="preserve"> en materia de transparencia, reutilización y acceso a la información, por no encontrarse en ninguno de los supuestos establecidos en el </w:t>
      </w:r>
      <w:r w:rsidRPr="00A86C9C">
        <w:rPr>
          <w:rFonts w:ascii="Verdana" w:hAnsi="Verdana" w:cs="Arial"/>
          <w:b/>
          <w:sz w:val="16"/>
          <w:szCs w:val="16"/>
        </w:rPr>
        <w:t xml:space="preserve">artículo </w:t>
      </w:r>
      <w:r w:rsidRPr="00A86C9C">
        <w:rPr>
          <w:rFonts w:ascii="Verdana" w:hAnsi="Verdana" w:cs="Verdana"/>
          <w:b/>
          <w:sz w:val="16"/>
          <w:szCs w:val="16"/>
        </w:rPr>
        <w:t>3</w:t>
      </w:r>
      <w:r w:rsidRPr="00A86C9C">
        <w:rPr>
          <w:rFonts w:ascii="Verdana" w:hAnsi="Verdana" w:cs="Verdana"/>
          <w:sz w:val="16"/>
          <w:szCs w:val="16"/>
        </w:rPr>
        <w:t xml:space="preserve"> de la </w:t>
      </w:r>
      <w:r w:rsidRPr="00A86C9C">
        <w:rPr>
          <w:rFonts w:ascii="Verdana" w:hAnsi="Verdana" w:cs="Verdana"/>
          <w:b/>
          <w:sz w:val="16"/>
          <w:szCs w:val="16"/>
        </w:rPr>
        <w:t xml:space="preserve">Ley 19/2013, de 9 de diciembre, de transparencia, acceso a la información pública y buen gobierno para los sujetos obligados </w:t>
      </w:r>
      <w:r w:rsidRPr="00A86C9C">
        <w:rPr>
          <w:sz w:val="16"/>
          <w:szCs w:val="16"/>
        </w:rPr>
        <w:t>(BOE 10/12/2013)</w:t>
      </w:r>
      <w:r w:rsidRPr="00A86C9C">
        <w:rPr>
          <w:rFonts w:ascii="Verdana" w:hAnsi="Verdana" w:cs="Verdana"/>
          <w:sz w:val="16"/>
          <w:szCs w:val="16"/>
        </w:rPr>
        <w:t xml:space="preserve">, ni en el </w:t>
      </w:r>
      <w:r w:rsidRPr="00A86C9C">
        <w:rPr>
          <w:rFonts w:ascii="Verdana" w:hAnsi="Verdana" w:cs="Verdana"/>
          <w:b/>
          <w:sz w:val="16"/>
          <w:szCs w:val="16"/>
        </w:rPr>
        <w:t>artículo 2.2</w:t>
      </w:r>
      <w:r w:rsidRPr="00A86C9C">
        <w:rPr>
          <w:rFonts w:ascii="Verdana" w:hAnsi="Verdana" w:cs="Verdana"/>
          <w:sz w:val="16"/>
          <w:szCs w:val="16"/>
        </w:rPr>
        <w:t xml:space="preserve"> de la </w:t>
      </w:r>
      <w:r w:rsidRPr="00A86C9C">
        <w:rPr>
          <w:b/>
          <w:sz w:val="16"/>
          <w:szCs w:val="16"/>
        </w:rPr>
        <w:t>Ley 8/2018, de 14 de septiembre, del Principado de Asturias de Transparencia, Buen Gobierno y grupos de interés</w:t>
      </w:r>
      <w:r w:rsidRPr="00A86C9C">
        <w:rPr>
          <w:sz w:val="16"/>
          <w:szCs w:val="16"/>
        </w:rPr>
        <w:t xml:space="preserve">  (BOPA 24/09/2018) </w:t>
      </w:r>
      <w:r w:rsidR="00721E2F" w:rsidRPr="00A86C9C">
        <w:rPr>
          <w:rStyle w:val="Refdenotaalpie"/>
          <w:rFonts w:ascii="Verdana" w:hAnsi="Verdana" w:cs="Arial"/>
          <w:sz w:val="16"/>
          <w:szCs w:val="16"/>
        </w:rPr>
        <w:footnoteReference w:id="1"/>
      </w:r>
    </w:p>
    <w:p w:rsidR="00721E2F" w:rsidRPr="00A86C9C" w:rsidRDefault="00721E2F" w:rsidP="00B25BED">
      <w:pPr>
        <w:autoSpaceDE w:val="0"/>
        <w:autoSpaceDN w:val="0"/>
        <w:adjustRightInd w:val="0"/>
        <w:spacing w:after="0" w:line="240" w:lineRule="auto"/>
        <w:jc w:val="both"/>
        <w:rPr>
          <w:sz w:val="16"/>
          <w:szCs w:val="16"/>
        </w:rPr>
      </w:pPr>
    </w:p>
    <w:p w:rsidR="00721E2F" w:rsidRPr="00A86C9C" w:rsidRDefault="00721E2F" w:rsidP="00B25BED">
      <w:pPr>
        <w:autoSpaceDE w:val="0"/>
        <w:autoSpaceDN w:val="0"/>
        <w:adjustRightInd w:val="0"/>
        <w:spacing w:after="0" w:line="240" w:lineRule="auto"/>
        <w:jc w:val="both"/>
        <w:rPr>
          <w:rFonts w:ascii="Verdana" w:hAnsi="Verdana" w:cs="Verdana"/>
          <w:sz w:val="16"/>
          <w:szCs w:val="16"/>
        </w:rPr>
      </w:pPr>
    </w:p>
    <w:p w:rsidR="003E268C" w:rsidRPr="00A86C9C" w:rsidRDefault="003E268C" w:rsidP="00B25BED">
      <w:pPr>
        <w:autoSpaceDE w:val="0"/>
        <w:autoSpaceDN w:val="0"/>
        <w:adjustRightInd w:val="0"/>
        <w:spacing w:after="0" w:line="240" w:lineRule="auto"/>
        <w:jc w:val="both"/>
        <w:rPr>
          <w:rFonts w:ascii="Verdana" w:hAnsi="Verdana" w:cs="Arial"/>
          <w:sz w:val="16"/>
          <w:szCs w:val="16"/>
        </w:rPr>
      </w:pPr>
    </w:p>
    <w:p w:rsidR="003E268C" w:rsidRPr="00A86C9C" w:rsidRDefault="003E268C" w:rsidP="00B25BED">
      <w:pPr>
        <w:autoSpaceDE w:val="0"/>
        <w:autoSpaceDN w:val="0"/>
        <w:adjustRightInd w:val="0"/>
        <w:spacing w:after="0" w:line="240" w:lineRule="auto"/>
        <w:jc w:val="both"/>
        <w:rPr>
          <w:rFonts w:ascii="Verdana" w:hAnsi="Verdana" w:cs="Arial"/>
          <w:sz w:val="16"/>
          <w:szCs w:val="16"/>
        </w:rPr>
      </w:pPr>
    </w:p>
    <w:p w:rsidR="003E268C" w:rsidRPr="00A86C9C" w:rsidRDefault="00402B8E" w:rsidP="00B25BED">
      <w:pPr>
        <w:autoSpaceDE w:val="0"/>
        <w:autoSpaceDN w:val="0"/>
        <w:adjustRightInd w:val="0"/>
        <w:spacing w:after="0" w:line="240" w:lineRule="auto"/>
        <w:jc w:val="both"/>
        <w:rPr>
          <w:rFonts w:ascii="Verdana" w:hAnsi="Verdana" w:cs="Arial"/>
          <w:sz w:val="16"/>
          <w:szCs w:val="16"/>
        </w:rPr>
      </w:pPr>
      <w:r w:rsidRPr="00A86C9C">
        <w:rPr>
          <w:rFonts w:ascii="Verdana" w:hAnsi="Verdana" w:cs="Arial"/>
          <w:sz w:val="16"/>
          <w:szCs w:val="16"/>
        </w:rPr>
        <w:t>Fecha y firma.</w:t>
      </w:r>
    </w:p>
    <w:sectPr w:rsidR="003E268C" w:rsidRPr="00A86C9C" w:rsidSect="00764849">
      <w:pgSz w:w="11906" w:h="16838"/>
      <w:pgMar w:top="851" w:right="113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68C" w:rsidRDefault="003E268C" w:rsidP="002C072A">
      <w:pPr>
        <w:spacing w:after="0" w:line="240" w:lineRule="auto"/>
      </w:pPr>
      <w:r>
        <w:separator/>
      </w:r>
    </w:p>
  </w:endnote>
  <w:endnote w:type="continuationSeparator" w:id="0">
    <w:p w:rsidR="003E268C" w:rsidRDefault="003E268C" w:rsidP="002C07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68C" w:rsidRDefault="003E268C" w:rsidP="002C072A">
      <w:pPr>
        <w:spacing w:after="0" w:line="240" w:lineRule="auto"/>
      </w:pPr>
      <w:r>
        <w:separator/>
      </w:r>
    </w:p>
  </w:footnote>
  <w:footnote w:type="continuationSeparator" w:id="0">
    <w:p w:rsidR="003E268C" w:rsidRDefault="003E268C" w:rsidP="002C072A">
      <w:pPr>
        <w:spacing w:after="0" w:line="240" w:lineRule="auto"/>
      </w:pPr>
      <w:r>
        <w:continuationSeparator/>
      </w:r>
    </w:p>
  </w:footnote>
  <w:footnote w:id="1">
    <w:p w:rsidR="00721E2F" w:rsidRDefault="00721E2F" w:rsidP="00721E2F">
      <w:pPr>
        <w:autoSpaceDE w:val="0"/>
        <w:autoSpaceDN w:val="0"/>
        <w:adjustRightInd w:val="0"/>
        <w:spacing w:after="0" w:line="240" w:lineRule="auto"/>
        <w:jc w:val="both"/>
        <w:rPr>
          <w:rFonts w:ascii="Verdana" w:hAnsi="Verdana"/>
          <w:sz w:val="12"/>
          <w:szCs w:val="12"/>
        </w:rPr>
      </w:pPr>
      <w:r w:rsidRPr="00721E2F">
        <w:rPr>
          <w:rStyle w:val="Refdenotaalpie"/>
          <w:rFonts w:ascii="Verdana" w:hAnsi="Verdana"/>
          <w:sz w:val="12"/>
          <w:szCs w:val="12"/>
        </w:rPr>
        <w:footnoteRef/>
      </w:r>
      <w:r w:rsidRPr="00721E2F">
        <w:rPr>
          <w:rFonts w:ascii="Verdana" w:hAnsi="Verdana"/>
          <w:sz w:val="12"/>
          <w:szCs w:val="12"/>
        </w:rPr>
        <w:t xml:space="preserve"> </w:t>
      </w:r>
      <w:r w:rsidRPr="008831C0">
        <w:rPr>
          <w:rFonts w:ascii="Verdana" w:hAnsi="Verdana"/>
          <w:b/>
          <w:sz w:val="12"/>
          <w:szCs w:val="12"/>
          <w:lang w:val="es-ES_tradnl"/>
        </w:rPr>
        <w:t>ENTIDADES OBLIGADAS</w:t>
      </w:r>
      <w:r w:rsidR="008831C0">
        <w:rPr>
          <w:rFonts w:ascii="Verdana" w:hAnsi="Verdana"/>
          <w:b/>
          <w:sz w:val="12"/>
          <w:szCs w:val="12"/>
          <w:lang w:val="es-ES_tradnl"/>
        </w:rPr>
        <w:t xml:space="preserve"> A PUBLICAR LA INFORMACION SUJETA A LAS OBLIGACIONES DE TRANSPARENCIA</w:t>
      </w:r>
      <w:r w:rsidRPr="008831C0">
        <w:rPr>
          <w:rFonts w:ascii="Verdana" w:hAnsi="Verdana"/>
          <w:b/>
          <w:sz w:val="12"/>
          <w:szCs w:val="12"/>
        </w:rPr>
        <w:t>:</w:t>
      </w:r>
    </w:p>
    <w:p w:rsidR="00721E2F" w:rsidRPr="00721E2F" w:rsidRDefault="00721E2F" w:rsidP="00721E2F">
      <w:pPr>
        <w:autoSpaceDE w:val="0"/>
        <w:autoSpaceDN w:val="0"/>
        <w:adjustRightInd w:val="0"/>
        <w:spacing w:after="0" w:line="240" w:lineRule="auto"/>
        <w:jc w:val="both"/>
        <w:rPr>
          <w:rFonts w:ascii="Verdana" w:hAnsi="Verdana"/>
          <w:sz w:val="12"/>
          <w:szCs w:val="12"/>
        </w:rPr>
      </w:pPr>
    </w:p>
    <w:p w:rsidR="00721E2F" w:rsidRPr="00721E2F" w:rsidRDefault="00721E2F" w:rsidP="00721E2F">
      <w:pPr>
        <w:autoSpaceDE w:val="0"/>
        <w:autoSpaceDN w:val="0"/>
        <w:adjustRightInd w:val="0"/>
        <w:spacing w:after="0" w:line="240" w:lineRule="auto"/>
        <w:jc w:val="both"/>
        <w:rPr>
          <w:rFonts w:ascii="Verdana" w:hAnsi="Verdana" w:cs="Verdana"/>
          <w:color w:val="FF0000"/>
          <w:sz w:val="12"/>
          <w:szCs w:val="12"/>
        </w:rPr>
      </w:pPr>
      <w:r>
        <w:rPr>
          <w:rFonts w:ascii="Verdana" w:hAnsi="Verdana"/>
          <w:sz w:val="12"/>
          <w:szCs w:val="12"/>
        </w:rPr>
        <w:t xml:space="preserve">- </w:t>
      </w:r>
      <w:r w:rsidRPr="00721E2F">
        <w:rPr>
          <w:rFonts w:ascii="Verdana" w:hAnsi="Verdana"/>
          <w:sz w:val="12"/>
          <w:szCs w:val="12"/>
        </w:rPr>
        <w:t xml:space="preserve">Según lo dispuesto en la </w:t>
      </w:r>
      <w:r w:rsidRPr="00721E2F">
        <w:rPr>
          <w:rFonts w:ascii="Verdana" w:hAnsi="Verdana"/>
          <w:b/>
          <w:sz w:val="12"/>
          <w:szCs w:val="12"/>
        </w:rPr>
        <w:t xml:space="preserve">Ley 19/2013, de 9 de diciembre, de transparencia, acceso a la información pública y buen gobierno </w:t>
      </w:r>
      <w:r w:rsidRPr="00721E2F">
        <w:rPr>
          <w:rFonts w:ascii="Verdana" w:hAnsi="Verdana"/>
          <w:sz w:val="12"/>
          <w:szCs w:val="12"/>
        </w:rPr>
        <w:t xml:space="preserve">(BOE 10/12/2013), </w:t>
      </w:r>
      <w:r w:rsidRPr="00721E2F">
        <w:rPr>
          <w:rFonts w:ascii="Verdana" w:hAnsi="Verdana"/>
          <w:b/>
          <w:sz w:val="12"/>
          <w:szCs w:val="12"/>
        </w:rPr>
        <w:t>artículo 3</w:t>
      </w:r>
      <w:r w:rsidRPr="00721E2F">
        <w:rPr>
          <w:rFonts w:ascii="Verdana" w:hAnsi="Verdana"/>
          <w:sz w:val="12"/>
          <w:szCs w:val="12"/>
        </w:rPr>
        <w:t>:</w:t>
      </w:r>
    </w:p>
    <w:p w:rsidR="00721E2F" w:rsidRPr="00721E2F" w:rsidRDefault="00721E2F" w:rsidP="00721E2F">
      <w:pPr>
        <w:spacing w:after="0" w:line="240" w:lineRule="auto"/>
        <w:jc w:val="both"/>
        <w:rPr>
          <w:rFonts w:ascii="Verdana" w:hAnsi="Verdana"/>
          <w:sz w:val="12"/>
          <w:szCs w:val="12"/>
          <w:lang w:val="es-ES_tradnl"/>
        </w:rPr>
      </w:pPr>
      <w:r w:rsidRPr="00721E2F">
        <w:rPr>
          <w:rFonts w:ascii="Verdana" w:hAnsi="Verdana"/>
          <w:sz w:val="12"/>
          <w:szCs w:val="12"/>
          <w:lang w:val="es-ES_tradnl"/>
        </w:rPr>
        <w:t>a) los partidos políticos, organizaciones sindicales y organizaciones empresariales.</w:t>
      </w:r>
    </w:p>
    <w:p w:rsidR="00721E2F" w:rsidRPr="00721E2F" w:rsidRDefault="00721E2F" w:rsidP="00721E2F">
      <w:pPr>
        <w:pStyle w:val="Sinespaciado"/>
        <w:rPr>
          <w:sz w:val="12"/>
          <w:szCs w:val="12"/>
          <w:lang w:val="es-ES_tradnl"/>
        </w:rPr>
      </w:pPr>
      <w:r w:rsidRPr="00721E2F">
        <w:rPr>
          <w:sz w:val="12"/>
          <w:szCs w:val="12"/>
          <w:lang w:val="es-ES_tradnl"/>
        </w:rPr>
        <w:t xml:space="preserve">b) las entidades privadas </w:t>
      </w:r>
      <w:r w:rsidRPr="00721E2F">
        <w:rPr>
          <w:b/>
          <w:sz w:val="12"/>
          <w:szCs w:val="12"/>
          <w:lang w:val="es-ES_tradnl"/>
        </w:rPr>
        <w:t>que perciban durante el periodo de un año ayudas o subvenciones públicas en una cuantía superior a 100.000,00 € o cuando al menos, el 40% del total de sus ingresos anuales tengan carácter de ayuda o subvención pública, siempre que alcancen como mínimo la cantidad de 5.000,00 €.</w:t>
      </w:r>
    </w:p>
    <w:p w:rsidR="00721E2F" w:rsidRPr="00721E2F" w:rsidRDefault="00721E2F" w:rsidP="00721E2F">
      <w:pPr>
        <w:autoSpaceDE w:val="0"/>
        <w:autoSpaceDN w:val="0"/>
        <w:adjustRightInd w:val="0"/>
        <w:spacing w:after="0" w:line="240" w:lineRule="auto"/>
        <w:jc w:val="both"/>
        <w:rPr>
          <w:rFonts w:ascii="Verdana" w:hAnsi="Verdana"/>
          <w:sz w:val="12"/>
          <w:szCs w:val="12"/>
          <w:lang w:val="es-ES_tradnl"/>
        </w:rPr>
      </w:pPr>
    </w:p>
    <w:p w:rsidR="00721E2F" w:rsidRDefault="00721E2F" w:rsidP="00721E2F">
      <w:pPr>
        <w:autoSpaceDE w:val="0"/>
        <w:autoSpaceDN w:val="0"/>
        <w:adjustRightInd w:val="0"/>
        <w:spacing w:after="0" w:line="240" w:lineRule="auto"/>
        <w:jc w:val="both"/>
        <w:rPr>
          <w:rFonts w:ascii="Verdana" w:hAnsi="Verdana"/>
          <w:sz w:val="12"/>
          <w:szCs w:val="12"/>
        </w:rPr>
      </w:pPr>
      <w:r w:rsidRPr="00721E2F">
        <w:rPr>
          <w:rFonts w:ascii="Verdana" w:hAnsi="Verdana"/>
          <w:sz w:val="12"/>
          <w:szCs w:val="12"/>
        </w:rPr>
        <w:t>-</w:t>
      </w:r>
      <w:r>
        <w:rPr>
          <w:rFonts w:ascii="Verdana" w:hAnsi="Verdana"/>
          <w:sz w:val="12"/>
          <w:szCs w:val="12"/>
        </w:rPr>
        <w:t xml:space="preserve"> </w:t>
      </w:r>
      <w:r w:rsidRPr="00721E2F">
        <w:rPr>
          <w:rFonts w:ascii="Verdana" w:hAnsi="Verdana"/>
          <w:sz w:val="12"/>
          <w:szCs w:val="12"/>
        </w:rPr>
        <w:t xml:space="preserve">Según lo dispuesto en la </w:t>
      </w:r>
      <w:r w:rsidRPr="00721E2F">
        <w:rPr>
          <w:rFonts w:ascii="Verdana" w:hAnsi="Verdana"/>
          <w:b/>
          <w:sz w:val="12"/>
          <w:szCs w:val="12"/>
        </w:rPr>
        <w:t>Ley 8/2018, de 14 de septiembre, del Principado de Asturias de Transparencia, Buen Gobierno y grupos de interés</w:t>
      </w:r>
      <w:r w:rsidRPr="00721E2F">
        <w:rPr>
          <w:rFonts w:ascii="Verdana" w:hAnsi="Verdana"/>
          <w:sz w:val="12"/>
          <w:szCs w:val="12"/>
        </w:rPr>
        <w:t xml:space="preserve">  (BOPA 24/09/2018), </w:t>
      </w:r>
      <w:r w:rsidRPr="00721E2F">
        <w:rPr>
          <w:rFonts w:ascii="Verdana" w:hAnsi="Verdana"/>
          <w:b/>
          <w:sz w:val="12"/>
          <w:szCs w:val="12"/>
        </w:rPr>
        <w:t>artículo 2.2</w:t>
      </w:r>
      <w:r w:rsidRPr="00721E2F">
        <w:rPr>
          <w:rFonts w:ascii="Verdana" w:hAnsi="Verdana"/>
          <w:sz w:val="12"/>
          <w:szCs w:val="12"/>
        </w:rPr>
        <w:t xml:space="preserve">: </w:t>
      </w:r>
    </w:p>
    <w:p w:rsidR="00721E2F" w:rsidRPr="00721E2F" w:rsidRDefault="00721E2F" w:rsidP="00721E2F">
      <w:pPr>
        <w:autoSpaceDE w:val="0"/>
        <w:autoSpaceDN w:val="0"/>
        <w:adjustRightInd w:val="0"/>
        <w:spacing w:after="0" w:line="240" w:lineRule="auto"/>
        <w:jc w:val="both"/>
        <w:rPr>
          <w:rFonts w:ascii="Verdana" w:hAnsi="Verdana"/>
          <w:sz w:val="12"/>
          <w:szCs w:val="12"/>
        </w:rPr>
      </w:pPr>
      <w:r w:rsidRPr="00721E2F">
        <w:rPr>
          <w:rFonts w:ascii="Verdana" w:hAnsi="Verdana"/>
          <w:sz w:val="12"/>
          <w:szCs w:val="12"/>
        </w:rPr>
        <w:t>a) Los partidos políticos, coaliciones electorales y agrupaciones de electores de ámbito autonómico que perciban ayudas o subvenciones con cargo a los Presupuestos Generales del Principado de Asturias.</w:t>
      </w:r>
    </w:p>
    <w:p w:rsidR="00721E2F" w:rsidRPr="00721E2F" w:rsidRDefault="00721E2F" w:rsidP="00721E2F">
      <w:pPr>
        <w:autoSpaceDE w:val="0"/>
        <w:autoSpaceDN w:val="0"/>
        <w:adjustRightInd w:val="0"/>
        <w:spacing w:after="0" w:line="240" w:lineRule="auto"/>
        <w:jc w:val="both"/>
        <w:rPr>
          <w:rFonts w:ascii="Verdana" w:hAnsi="Verdana"/>
          <w:sz w:val="12"/>
          <w:szCs w:val="12"/>
        </w:rPr>
      </w:pPr>
      <w:r w:rsidRPr="00721E2F">
        <w:rPr>
          <w:rFonts w:ascii="Verdana" w:hAnsi="Verdana"/>
          <w:sz w:val="12"/>
          <w:szCs w:val="12"/>
        </w:rPr>
        <w:t>b) Las organizaciones sindicales y empresariales de ámbito autonómico que perciban ayudas o subvenciones de alguno de los sujetos del apartado 1 de este artículo.</w:t>
      </w:r>
    </w:p>
    <w:p w:rsidR="00721E2F" w:rsidRPr="00721E2F" w:rsidRDefault="00721E2F" w:rsidP="00721E2F">
      <w:pPr>
        <w:autoSpaceDE w:val="0"/>
        <w:autoSpaceDN w:val="0"/>
        <w:adjustRightInd w:val="0"/>
        <w:spacing w:after="0" w:line="240" w:lineRule="auto"/>
        <w:jc w:val="both"/>
        <w:rPr>
          <w:rFonts w:ascii="Verdana" w:hAnsi="Verdana"/>
          <w:sz w:val="12"/>
          <w:szCs w:val="12"/>
        </w:rPr>
      </w:pPr>
      <w:r w:rsidRPr="00721E2F">
        <w:rPr>
          <w:rFonts w:ascii="Verdana" w:hAnsi="Verdana"/>
          <w:sz w:val="12"/>
          <w:szCs w:val="12"/>
        </w:rPr>
        <w:t>c) Las asociaciones y fundaciones vinculadas a partidos políticos u organizaciones sindicales y empresariales de ámbito autonómico cuando celebren contratos, suscriban convenios o perciban ayudas o subvenciones con cargo a presupuestos públicos.</w:t>
      </w:r>
    </w:p>
    <w:p w:rsidR="00721E2F" w:rsidRPr="00721E2F" w:rsidRDefault="00721E2F" w:rsidP="00721E2F">
      <w:pPr>
        <w:autoSpaceDE w:val="0"/>
        <w:autoSpaceDN w:val="0"/>
        <w:adjustRightInd w:val="0"/>
        <w:spacing w:after="0" w:line="240" w:lineRule="auto"/>
        <w:jc w:val="both"/>
        <w:rPr>
          <w:rFonts w:ascii="Verdana" w:hAnsi="Verdana"/>
          <w:sz w:val="12"/>
          <w:szCs w:val="12"/>
          <w:u w:val="single"/>
        </w:rPr>
      </w:pPr>
      <w:r w:rsidRPr="00721E2F">
        <w:rPr>
          <w:rFonts w:ascii="Verdana" w:hAnsi="Verdana"/>
          <w:sz w:val="12"/>
          <w:szCs w:val="12"/>
        </w:rPr>
        <w:t xml:space="preserve">d) Las entidades privadas, cualquiera que sea su forma jurídica, que, teniendo sede, domicilio social o desarrollando principalmente su actividad en el Principado de Asturias, perciban durante el período de un año ayudas o subvenciones en una cuantía igual o superior a 18.000 euros, o cuando al menos el 30 por 100 del total de sus ingresos anuales tenga carácter de ayuda o subvención de dichos sujetos, siempre que alcance un mínimo de 1.500 euros </w:t>
      </w:r>
      <w:r w:rsidRPr="00721E2F">
        <w:rPr>
          <w:rFonts w:ascii="Verdana" w:hAnsi="Verdana"/>
          <w:sz w:val="12"/>
          <w:szCs w:val="12"/>
          <w:u w:val="single"/>
        </w:rPr>
        <w:t>de los sujetos del artículo 2.1 de la misma Ley, que son los que se indican a continuación:</w:t>
      </w:r>
    </w:p>
    <w:p w:rsidR="00721E2F" w:rsidRPr="00721E2F" w:rsidRDefault="00721E2F" w:rsidP="00721E2F">
      <w:pPr>
        <w:pStyle w:val="Sinespaciado"/>
        <w:rPr>
          <w:sz w:val="12"/>
          <w:szCs w:val="12"/>
        </w:rPr>
      </w:pPr>
    </w:p>
    <w:p w:rsidR="00721E2F" w:rsidRPr="00721E2F" w:rsidRDefault="00721E2F" w:rsidP="00B129FC">
      <w:pPr>
        <w:pStyle w:val="NormalWeb"/>
        <w:numPr>
          <w:ilvl w:val="0"/>
          <w:numId w:val="4"/>
        </w:numPr>
        <w:spacing w:before="0" w:beforeAutospacing="0" w:after="0"/>
        <w:ind w:left="425" w:firstLine="0"/>
        <w:jc w:val="both"/>
        <w:rPr>
          <w:rFonts w:ascii="Verdana" w:hAnsi="Verdana" w:cs="Tahoma"/>
          <w:color w:val="414B56"/>
          <w:sz w:val="12"/>
          <w:szCs w:val="12"/>
        </w:rPr>
      </w:pPr>
      <w:r w:rsidRPr="00721E2F">
        <w:rPr>
          <w:rFonts w:ascii="Verdana" w:hAnsi="Verdana" w:cs="Tahoma"/>
          <w:color w:val="414B56"/>
          <w:sz w:val="12"/>
          <w:szCs w:val="12"/>
        </w:rPr>
        <w:t>La Administración del Principado de Asturias y sus organismos y entes públicos, así como las sociedades mercantiles y fundaciones en las que tengan directa o indirectamente participación mayoritaria o dominio efectivo.</w:t>
      </w:r>
    </w:p>
    <w:p w:rsidR="00721E2F" w:rsidRPr="00721E2F" w:rsidRDefault="00721E2F" w:rsidP="00B129FC">
      <w:pPr>
        <w:pStyle w:val="NormalWeb"/>
        <w:numPr>
          <w:ilvl w:val="0"/>
          <w:numId w:val="4"/>
        </w:numPr>
        <w:spacing w:before="0" w:beforeAutospacing="0" w:after="0"/>
        <w:ind w:left="425" w:firstLine="0"/>
        <w:jc w:val="both"/>
        <w:rPr>
          <w:rFonts w:ascii="Verdana" w:hAnsi="Verdana" w:cs="Tahoma"/>
          <w:color w:val="414B56"/>
          <w:sz w:val="12"/>
          <w:szCs w:val="12"/>
        </w:rPr>
      </w:pPr>
      <w:r w:rsidRPr="00721E2F">
        <w:rPr>
          <w:rFonts w:ascii="Verdana" w:hAnsi="Verdana" w:cs="Tahoma"/>
          <w:color w:val="414B56"/>
          <w:sz w:val="12"/>
          <w:szCs w:val="12"/>
        </w:rPr>
        <w:t>Las entidades locales comprendidas en el ámbito territorial del Principado de Asturias y sus organismos y entes públicos, así como las sociedades mercantiles y fundaciones en las que tengan directa o indirectamente participación mayoritaria o dominio efectivo.</w:t>
      </w:r>
    </w:p>
    <w:p w:rsidR="00721E2F" w:rsidRPr="00B129FC" w:rsidRDefault="00721E2F" w:rsidP="00B129FC">
      <w:pPr>
        <w:pStyle w:val="NormalWeb"/>
        <w:numPr>
          <w:ilvl w:val="0"/>
          <w:numId w:val="4"/>
        </w:numPr>
        <w:spacing w:before="0" w:beforeAutospacing="0" w:after="0"/>
        <w:ind w:left="425" w:firstLine="0"/>
        <w:jc w:val="both"/>
        <w:rPr>
          <w:rFonts w:ascii="Verdana" w:hAnsi="Verdana" w:cs="Tahoma"/>
          <w:color w:val="414B56"/>
          <w:sz w:val="12"/>
          <w:szCs w:val="12"/>
        </w:rPr>
      </w:pPr>
      <w:r w:rsidRPr="00B129FC">
        <w:rPr>
          <w:rFonts w:ascii="Verdana" w:hAnsi="Verdana" w:cs="Tahoma"/>
          <w:color w:val="414B56"/>
          <w:sz w:val="12"/>
          <w:szCs w:val="12"/>
        </w:rPr>
        <w:t>La Universidad de Oviedo y las sociedades mercantiles y fundaciones en las que tenga directa o indirectamente participación mayoritaria o dominio efectivo.</w:t>
      </w:r>
    </w:p>
    <w:p w:rsidR="00B129FC" w:rsidRDefault="00721E2F" w:rsidP="00B129FC">
      <w:pPr>
        <w:pStyle w:val="NormalWeb"/>
        <w:numPr>
          <w:ilvl w:val="0"/>
          <w:numId w:val="4"/>
        </w:numPr>
        <w:spacing w:before="0" w:beforeAutospacing="0" w:after="0"/>
        <w:ind w:left="425" w:firstLine="0"/>
        <w:jc w:val="both"/>
        <w:rPr>
          <w:rFonts w:ascii="Verdana" w:hAnsi="Verdana" w:cs="Tahoma"/>
          <w:color w:val="414B56"/>
          <w:sz w:val="12"/>
          <w:szCs w:val="12"/>
        </w:rPr>
      </w:pPr>
      <w:r w:rsidRPr="00B129FC">
        <w:rPr>
          <w:rFonts w:ascii="Verdana" w:hAnsi="Verdana" w:cs="Tahoma"/>
          <w:color w:val="414B56"/>
          <w:sz w:val="12"/>
          <w:szCs w:val="12"/>
        </w:rPr>
        <w:t xml:space="preserve">Las sociedades mercantiles y fundaciones en las que los sujetos de las letras anteriores o algunos de ellos tengan, por acumulación, participación </w:t>
      </w:r>
      <w:r w:rsidR="00B129FC">
        <w:rPr>
          <w:rFonts w:ascii="Verdana" w:hAnsi="Verdana" w:cs="Tahoma"/>
          <w:color w:val="414B56"/>
          <w:sz w:val="12"/>
          <w:szCs w:val="12"/>
        </w:rPr>
        <w:t>mayoritaria o dominio efectivo.</w:t>
      </w:r>
    </w:p>
    <w:p w:rsidR="00721E2F" w:rsidRPr="00B129FC" w:rsidRDefault="00721E2F" w:rsidP="00B129FC">
      <w:pPr>
        <w:pStyle w:val="NormalWeb"/>
        <w:numPr>
          <w:ilvl w:val="0"/>
          <w:numId w:val="4"/>
        </w:numPr>
        <w:spacing w:before="0" w:beforeAutospacing="0" w:after="0"/>
        <w:ind w:left="425" w:firstLine="0"/>
        <w:jc w:val="both"/>
        <w:rPr>
          <w:rFonts w:ascii="Verdana" w:hAnsi="Verdana" w:cs="Tahoma"/>
          <w:color w:val="414B56"/>
          <w:sz w:val="12"/>
          <w:szCs w:val="12"/>
        </w:rPr>
      </w:pPr>
      <w:r w:rsidRPr="00B129FC">
        <w:rPr>
          <w:rFonts w:ascii="Verdana" w:hAnsi="Verdana" w:cs="Tahoma"/>
          <w:color w:val="414B56"/>
          <w:sz w:val="12"/>
          <w:szCs w:val="12"/>
        </w:rPr>
        <w:t xml:space="preserve">Las corporaciones de Derecho público de competencia del Principado de Asturias en lo relativo a sus actividades sujetas a Derecho </w:t>
      </w:r>
      <w:proofErr w:type="spellStart"/>
      <w:r w:rsidRPr="00B129FC">
        <w:rPr>
          <w:rFonts w:ascii="Verdana" w:hAnsi="Verdana" w:cs="Tahoma"/>
          <w:color w:val="414B56"/>
          <w:sz w:val="12"/>
          <w:szCs w:val="12"/>
        </w:rPr>
        <w:t>administrativo.Las</w:t>
      </w:r>
      <w:proofErr w:type="spellEnd"/>
      <w:r w:rsidRPr="00B129FC">
        <w:rPr>
          <w:rFonts w:ascii="Verdana" w:hAnsi="Verdana" w:cs="Tahoma"/>
          <w:color w:val="414B56"/>
          <w:sz w:val="12"/>
          <w:szCs w:val="12"/>
        </w:rPr>
        <w:t xml:space="preserve"> asociaciones de Administraciones públicas y los órganos de cooperación de las mismas en que participe alguno de los sujetos referidos en las letras anteriores, con excepción de aquellos en los que participe la Administración del Estado o alguna de las entidades de su sector público.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32E5B"/>
    <w:multiLevelType w:val="hybridMultilevel"/>
    <w:tmpl w:val="138A02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E290AC0"/>
    <w:multiLevelType w:val="hybridMultilevel"/>
    <w:tmpl w:val="74C4E912"/>
    <w:lvl w:ilvl="0" w:tplc="291C5C04">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2BA37FE"/>
    <w:multiLevelType w:val="hybridMultilevel"/>
    <w:tmpl w:val="8CAE5BE8"/>
    <w:lvl w:ilvl="0" w:tplc="C0D2B130">
      <w:start w:val="1"/>
      <w:numFmt w:val="decimal"/>
      <w:lvlText w:val="%1."/>
      <w:lvlJc w:val="left"/>
      <w:pPr>
        <w:ind w:left="720" w:hanging="578"/>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E8051B9"/>
    <w:multiLevelType w:val="hybridMultilevel"/>
    <w:tmpl w:val="579A3A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570493D"/>
    <w:multiLevelType w:val="hybridMultilevel"/>
    <w:tmpl w:val="8A6016A0"/>
    <w:lvl w:ilvl="0" w:tplc="C8E82A3C">
      <w:start w:val="4"/>
      <w:numFmt w:val="bullet"/>
      <w:lvlText w:val="-"/>
      <w:lvlJc w:val="left"/>
      <w:pPr>
        <w:ind w:left="927" w:hanging="360"/>
      </w:pPr>
      <w:rPr>
        <w:rFonts w:ascii="Verdana" w:eastAsia="Times New Roman" w:hAnsi="Verdana" w:cs="Tahoma"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260DE"/>
    <w:rsid w:val="00015539"/>
    <w:rsid w:val="00021739"/>
    <w:rsid w:val="0005191F"/>
    <w:rsid w:val="00056F2D"/>
    <w:rsid w:val="000706FD"/>
    <w:rsid w:val="00091BFB"/>
    <w:rsid w:val="000A49D8"/>
    <w:rsid w:val="000A62CA"/>
    <w:rsid w:val="000B4278"/>
    <w:rsid w:val="000D4CCA"/>
    <w:rsid w:val="000E2267"/>
    <w:rsid w:val="000E47C8"/>
    <w:rsid w:val="000F600B"/>
    <w:rsid w:val="000F7335"/>
    <w:rsid w:val="0012058F"/>
    <w:rsid w:val="001269F5"/>
    <w:rsid w:val="00135C32"/>
    <w:rsid w:val="00144E12"/>
    <w:rsid w:val="00156E2D"/>
    <w:rsid w:val="00161941"/>
    <w:rsid w:val="00165AAD"/>
    <w:rsid w:val="00186C29"/>
    <w:rsid w:val="00195F3C"/>
    <w:rsid w:val="00196959"/>
    <w:rsid w:val="001D0984"/>
    <w:rsid w:val="001D75D3"/>
    <w:rsid w:val="001F49B1"/>
    <w:rsid w:val="00210666"/>
    <w:rsid w:val="00227743"/>
    <w:rsid w:val="002327DF"/>
    <w:rsid w:val="00237448"/>
    <w:rsid w:val="00250A82"/>
    <w:rsid w:val="00256FA0"/>
    <w:rsid w:val="00285D7B"/>
    <w:rsid w:val="00297363"/>
    <w:rsid w:val="002B06F5"/>
    <w:rsid w:val="002B6D1C"/>
    <w:rsid w:val="002C072A"/>
    <w:rsid w:val="002C6344"/>
    <w:rsid w:val="002D3033"/>
    <w:rsid w:val="002E53AB"/>
    <w:rsid w:val="00312EBA"/>
    <w:rsid w:val="00321934"/>
    <w:rsid w:val="00323443"/>
    <w:rsid w:val="00325380"/>
    <w:rsid w:val="00330097"/>
    <w:rsid w:val="00334809"/>
    <w:rsid w:val="00346305"/>
    <w:rsid w:val="00350B36"/>
    <w:rsid w:val="003B6093"/>
    <w:rsid w:val="003D5859"/>
    <w:rsid w:val="003D5CD2"/>
    <w:rsid w:val="003E268C"/>
    <w:rsid w:val="003F0D78"/>
    <w:rsid w:val="003F4586"/>
    <w:rsid w:val="003F50AB"/>
    <w:rsid w:val="00400845"/>
    <w:rsid w:val="00402B8E"/>
    <w:rsid w:val="00407476"/>
    <w:rsid w:val="00415B5A"/>
    <w:rsid w:val="0042213C"/>
    <w:rsid w:val="00427ED9"/>
    <w:rsid w:val="00430250"/>
    <w:rsid w:val="00432C75"/>
    <w:rsid w:val="00441FFE"/>
    <w:rsid w:val="0045235D"/>
    <w:rsid w:val="004537E3"/>
    <w:rsid w:val="004644DB"/>
    <w:rsid w:val="004848F4"/>
    <w:rsid w:val="004E60C3"/>
    <w:rsid w:val="004F5C9E"/>
    <w:rsid w:val="00535ED5"/>
    <w:rsid w:val="00541229"/>
    <w:rsid w:val="00552D7F"/>
    <w:rsid w:val="00557D3D"/>
    <w:rsid w:val="005A553E"/>
    <w:rsid w:val="005C4163"/>
    <w:rsid w:val="005D4D11"/>
    <w:rsid w:val="00600154"/>
    <w:rsid w:val="006004A5"/>
    <w:rsid w:val="00604059"/>
    <w:rsid w:val="00604D41"/>
    <w:rsid w:val="00610110"/>
    <w:rsid w:val="00627A1E"/>
    <w:rsid w:val="00657591"/>
    <w:rsid w:val="00673AC6"/>
    <w:rsid w:val="00685AD9"/>
    <w:rsid w:val="006A4079"/>
    <w:rsid w:val="006B1AFF"/>
    <w:rsid w:val="006B3A94"/>
    <w:rsid w:val="006D4ECC"/>
    <w:rsid w:val="006F6D6F"/>
    <w:rsid w:val="00702425"/>
    <w:rsid w:val="0070390B"/>
    <w:rsid w:val="00721E2F"/>
    <w:rsid w:val="00721F29"/>
    <w:rsid w:val="00735F37"/>
    <w:rsid w:val="0075738C"/>
    <w:rsid w:val="00757D83"/>
    <w:rsid w:val="00764849"/>
    <w:rsid w:val="00787161"/>
    <w:rsid w:val="007A14E6"/>
    <w:rsid w:val="007C3431"/>
    <w:rsid w:val="007D3796"/>
    <w:rsid w:val="007E0B92"/>
    <w:rsid w:val="007F1D93"/>
    <w:rsid w:val="00820BBD"/>
    <w:rsid w:val="00832F7A"/>
    <w:rsid w:val="00857594"/>
    <w:rsid w:val="00873404"/>
    <w:rsid w:val="008831C0"/>
    <w:rsid w:val="00885E58"/>
    <w:rsid w:val="008979CF"/>
    <w:rsid w:val="008D0A4E"/>
    <w:rsid w:val="008D0EAD"/>
    <w:rsid w:val="008D130D"/>
    <w:rsid w:val="008F7D66"/>
    <w:rsid w:val="00906CC2"/>
    <w:rsid w:val="00922D09"/>
    <w:rsid w:val="00922D4B"/>
    <w:rsid w:val="00927648"/>
    <w:rsid w:val="00944631"/>
    <w:rsid w:val="009518AB"/>
    <w:rsid w:val="0095253F"/>
    <w:rsid w:val="009639F0"/>
    <w:rsid w:val="0096769E"/>
    <w:rsid w:val="009829E2"/>
    <w:rsid w:val="009A10C3"/>
    <w:rsid w:val="009B2C01"/>
    <w:rsid w:val="009C2361"/>
    <w:rsid w:val="009C27D4"/>
    <w:rsid w:val="009D1FF4"/>
    <w:rsid w:val="009D3DF9"/>
    <w:rsid w:val="009E4E17"/>
    <w:rsid w:val="00A76A3F"/>
    <w:rsid w:val="00A86C9C"/>
    <w:rsid w:val="00A95E76"/>
    <w:rsid w:val="00AC0CD5"/>
    <w:rsid w:val="00AC5F0B"/>
    <w:rsid w:val="00AD01FD"/>
    <w:rsid w:val="00AF5903"/>
    <w:rsid w:val="00B028E2"/>
    <w:rsid w:val="00B129FC"/>
    <w:rsid w:val="00B147B0"/>
    <w:rsid w:val="00B22D52"/>
    <w:rsid w:val="00B25BED"/>
    <w:rsid w:val="00B31D5C"/>
    <w:rsid w:val="00B473CA"/>
    <w:rsid w:val="00B55ED7"/>
    <w:rsid w:val="00B6542C"/>
    <w:rsid w:val="00B8100D"/>
    <w:rsid w:val="00BC1789"/>
    <w:rsid w:val="00BD3174"/>
    <w:rsid w:val="00BE4825"/>
    <w:rsid w:val="00C003DE"/>
    <w:rsid w:val="00C02AF0"/>
    <w:rsid w:val="00C260DE"/>
    <w:rsid w:val="00C27F1D"/>
    <w:rsid w:val="00C63BEE"/>
    <w:rsid w:val="00C86CBA"/>
    <w:rsid w:val="00C928F4"/>
    <w:rsid w:val="00CA148F"/>
    <w:rsid w:val="00CC0CBA"/>
    <w:rsid w:val="00CC148D"/>
    <w:rsid w:val="00CC5071"/>
    <w:rsid w:val="00CC7C19"/>
    <w:rsid w:val="00CD7FB1"/>
    <w:rsid w:val="00CF45B4"/>
    <w:rsid w:val="00CF5BF7"/>
    <w:rsid w:val="00D034A3"/>
    <w:rsid w:val="00D159FB"/>
    <w:rsid w:val="00D23990"/>
    <w:rsid w:val="00D279B1"/>
    <w:rsid w:val="00D43532"/>
    <w:rsid w:val="00D5540F"/>
    <w:rsid w:val="00D755C5"/>
    <w:rsid w:val="00D80B98"/>
    <w:rsid w:val="00D963E5"/>
    <w:rsid w:val="00DB13F1"/>
    <w:rsid w:val="00DB2DA1"/>
    <w:rsid w:val="00DD750A"/>
    <w:rsid w:val="00DF597F"/>
    <w:rsid w:val="00E232C7"/>
    <w:rsid w:val="00E27BD7"/>
    <w:rsid w:val="00E34278"/>
    <w:rsid w:val="00E34A04"/>
    <w:rsid w:val="00E44CF4"/>
    <w:rsid w:val="00E468A6"/>
    <w:rsid w:val="00E72B12"/>
    <w:rsid w:val="00E73F9B"/>
    <w:rsid w:val="00E77341"/>
    <w:rsid w:val="00E92FE0"/>
    <w:rsid w:val="00E93841"/>
    <w:rsid w:val="00EA0B5B"/>
    <w:rsid w:val="00EC669B"/>
    <w:rsid w:val="00ED42D8"/>
    <w:rsid w:val="00ED757F"/>
    <w:rsid w:val="00F01377"/>
    <w:rsid w:val="00F114C6"/>
    <w:rsid w:val="00F32A05"/>
    <w:rsid w:val="00F35FF9"/>
    <w:rsid w:val="00F7256D"/>
    <w:rsid w:val="00F87905"/>
    <w:rsid w:val="00FA5C0B"/>
    <w:rsid w:val="00FB6E11"/>
    <w:rsid w:val="00FD67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2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60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60DE"/>
    <w:rPr>
      <w:rFonts w:ascii="Tahoma" w:hAnsi="Tahoma" w:cs="Tahoma"/>
      <w:sz w:val="16"/>
      <w:szCs w:val="16"/>
    </w:rPr>
  </w:style>
  <w:style w:type="table" w:styleId="Tablaconcuadrcula">
    <w:name w:val="Table Grid"/>
    <w:basedOn w:val="Tablanormal"/>
    <w:uiPriority w:val="59"/>
    <w:rsid w:val="00922D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2C07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C072A"/>
  </w:style>
  <w:style w:type="paragraph" w:styleId="Piedepgina">
    <w:name w:val="footer"/>
    <w:basedOn w:val="Normal"/>
    <w:link w:val="PiedepginaCar"/>
    <w:uiPriority w:val="99"/>
    <w:semiHidden/>
    <w:unhideWhenUsed/>
    <w:rsid w:val="002C07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C072A"/>
  </w:style>
  <w:style w:type="character" w:styleId="Hipervnculo">
    <w:name w:val="Hyperlink"/>
    <w:basedOn w:val="Fuentedeprrafopredeter"/>
    <w:uiPriority w:val="99"/>
    <w:unhideWhenUsed/>
    <w:rsid w:val="00AD01FD"/>
    <w:rPr>
      <w:color w:val="0000FF" w:themeColor="hyperlink"/>
      <w:u w:val="single"/>
    </w:rPr>
  </w:style>
  <w:style w:type="paragraph" w:customStyle="1" w:styleId="parrafo1">
    <w:name w:val="parrafo1"/>
    <w:basedOn w:val="Normal"/>
    <w:rsid w:val="00C02AF0"/>
    <w:pPr>
      <w:spacing w:before="180" w:after="180" w:line="240" w:lineRule="auto"/>
      <w:ind w:firstLine="360"/>
      <w:jc w:val="both"/>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B6E11"/>
    <w:pPr>
      <w:ind w:left="720"/>
      <w:contextualSpacing/>
    </w:pPr>
  </w:style>
  <w:style w:type="paragraph" w:styleId="Textonotaalfinal">
    <w:name w:val="endnote text"/>
    <w:basedOn w:val="Normal"/>
    <w:link w:val="TextonotaalfinalCar"/>
    <w:uiPriority w:val="99"/>
    <w:semiHidden/>
    <w:unhideWhenUsed/>
    <w:rsid w:val="00721E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21E2F"/>
    <w:rPr>
      <w:sz w:val="20"/>
      <w:szCs w:val="20"/>
    </w:rPr>
  </w:style>
  <w:style w:type="character" w:styleId="Refdenotaalfinal">
    <w:name w:val="endnote reference"/>
    <w:basedOn w:val="Fuentedeprrafopredeter"/>
    <w:uiPriority w:val="99"/>
    <w:semiHidden/>
    <w:unhideWhenUsed/>
    <w:rsid w:val="00721E2F"/>
    <w:rPr>
      <w:vertAlign w:val="superscript"/>
    </w:rPr>
  </w:style>
  <w:style w:type="paragraph" w:styleId="Textonotapie">
    <w:name w:val="footnote text"/>
    <w:basedOn w:val="Normal"/>
    <w:link w:val="TextonotapieCar"/>
    <w:uiPriority w:val="99"/>
    <w:semiHidden/>
    <w:unhideWhenUsed/>
    <w:rsid w:val="00721E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1E2F"/>
    <w:rPr>
      <w:sz w:val="20"/>
      <w:szCs w:val="20"/>
    </w:rPr>
  </w:style>
  <w:style w:type="character" w:styleId="Refdenotaalpie">
    <w:name w:val="footnote reference"/>
    <w:basedOn w:val="Fuentedeprrafopredeter"/>
    <w:uiPriority w:val="99"/>
    <w:semiHidden/>
    <w:unhideWhenUsed/>
    <w:rsid w:val="00721E2F"/>
    <w:rPr>
      <w:vertAlign w:val="superscript"/>
    </w:rPr>
  </w:style>
  <w:style w:type="paragraph" w:styleId="Sinespaciado">
    <w:name w:val="No Spacing"/>
    <w:aliases w:val="EPAC - ENCABEZADO DOCUMENTO,2"/>
    <w:next w:val="Normal"/>
    <w:uiPriority w:val="1"/>
    <w:qFormat/>
    <w:rsid w:val="00721E2F"/>
    <w:pPr>
      <w:widowControl w:val="0"/>
      <w:spacing w:after="0" w:line="240" w:lineRule="auto"/>
      <w:contextualSpacing/>
      <w:jc w:val="both"/>
    </w:pPr>
    <w:rPr>
      <w:rFonts w:ascii="Verdana" w:eastAsia="Times New Roman" w:hAnsi="Verdana" w:cs="Times New Roman"/>
      <w:sz w:val="16"/>
      <w:szCs w:val="20"/>
      <w:lang w:eastAsia="es-ES"/>
    </w:rPr>
  </w:style>
  <w:style w:type="paragraph" w:styleId="NormalWeb">
    <w:name w:val="Normal (Web)"/>
    <w:basedOn w:val="Normal"/>
    <w:uiPriority w:val="99"/>
    <w:unhideWhenUsed/>
    <w:rsid w:val="00721E2F"/>
    <w:pPr>
      <w:spacing w:before="100" w:beforeAutospacing="1" w:after="96" w:line="240" w:lineRule="auto"/>
      <w:ind w:left="240"/>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752190746">
      <w:bodyDiv w:val="1"/>
      <w:marLeft w:val="0"/>
      <w:marRight w:val="0"/>
      <w:marTop w:val="0"/>
      <w:marBottom w:val="0"/>
      <w:divBdr>
        <w:top w:val="none" w:sz="0" w:space="0" w:color="auto"/>
        <w:left w:val="none" w:sz="0" w:space="0" w:color="auto"/>
        <w:bottom w:val="none" w:sz="0" w:space="0" w:color="auto"/>
        <w:right w:val="none" w:sz="0" w:space="0" w:color="auto"/>
      </w:divBdr>
      <w:divsChild>
        <w:div w:id="748120534">
          <w:marLeft w:val="0"/>
          <w:marRight w:val="0"/>
          <w:marTop w:val="720"/>
          <w:marBottom w:val="720"/>
          <w:divBdr>
            <w:top w:val="none" w:sz="0" w:space="0" w:color="auto"/>
            <w:left w:val="none" w:sz="0" w:space="0" w:color="auto"/>
            <w:bottom w:val="none" w:sz="0" w:space="0" w:color="auto"/>
            <w:right w:val="none" w:sz="0" w:space="0" w:color="auto"/>
          </w:divBdr>
          <w:divsChild>
            <w:div w:id="1926920208">
              <w:marLeft w:val="0"/>
              <w:marRight w:val="0"/>
              <w:marTop w:val="0"/>
              <w:marBottom w:val="0"/>
              <w:divBdr>
                <w:top w:val="none" w:sz="0" w:space="0" w:color="auto"/>
                <w:left w:val="none" w:sz="0" w:space="0" w:color="auto"/>
                <w:bottom w:val="none" w:sz="0" w:space="0" w:color="auto"/>
                <w:right w:val="none" w:sz="0" w:space="0" w:color="auto"/>
              </w:divBdr>
              <w:divsChild>
                <w:div w:id="1928033498">
                  <w:marLeft w:val="0"/>
                  <w:marRight w:val="0"/>
                  <w:marTop w:val="0"/>
                  <w:marBottom w:val="0"/>
                  <w:divBdr>
                    <w:top w:val="single" w:sz="8" w:space="12" w:color="CCCCCC"/>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09BF4-4B82-4986-8A25-409AF5C0D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880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Ayuntamiento de Gijon</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RSANCHO</dc:creator>
  <cp:lastModifiedBy>RGUTIERREZR</cp:lastModifiedBy>
  <cp:revision>3</cp:revision>
  <cp:lastPrinted>2019-04-25T08:21:00Z</cp:lastPrinted>
  <dcterms:created xsi:type="dcterms:W3CDTF">2019-04-25T08:40:00Z</dcterms:created>
  <dcterms:modified xsi:type="dcterms:W3CDTF">2021-02-04T09:01:00Z</dcterms:modified>
</cp:coreProperties>
</file>